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44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14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A参加“青马工程” “大学生骨干培训班”等思想政治类培养计划（6分）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5.院系级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B思想品德方面有突出事迹，被授予道德模范、抗震救灾、见义勇为、拾金不昧、乐于助人、自强之星等奖励或表彰（6分）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6.获得国际、国家级奖励或表彰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7.获得省部级奖励或表彰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8.获得市级奖励或表彰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9.获得校级奖励或表彰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C“学习强国”学习情况（3分）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10.“学习强国”积分达到8000分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11.“学习强国”积分达到5000分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12.“学习强国”积分达到2000分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D“青年大学习”学习情况（2分）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13.参评当学期每1期“青年大学习”均完成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E思想政治理论课学习情况（3分）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14.平均课程成绩达到95分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15.平均课程成绩达到90分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16.平均课程成绩达到85分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F参加社会实践（5分）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23.参加“逐梦计划”社会实践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G参加志愿服务（5分）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</w:t>
            </w:r>
            <w:r>
              <w:rPr>
                <w:rFonts w:eastAsia="仿宋_GB2312"/>
                <w:kern w:val="0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G2参加重要项目的志愿服务工作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28.国家级证书或证明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29.省级证书或证明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30.市级证书或证明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31.超过72小时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32.36小时到72小时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H参加创新创业竞赛（7分）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H2省级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H4国际、国家级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40.获得一等奖及以上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H5省部级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H6市级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47.获得二等奖及以下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H7校级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I自主创业（3分）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49.个人或合伙自主创业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J参与科技创新（10分）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J1获得国家级科技奖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J2获得省部级科技奖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J3项目立项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56.科研项目立项国家级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57.科研项目立项省部级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58.科研项目立项市校级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59.发明型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60.实用创新型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61.外观设计型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J5科技成果转化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62.成果转让或孵化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K在校期间获得奖学金（4分）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63.获得省部级以上奖学金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64.获得校级一等奖学金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65.获得校级二等及以下奖学金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L发表学术论文或文章（7分）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人文社科类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发表论文（文章）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L1南大核心（CSSCI）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L2北大核心、CSSCI扩展版、国际学术期刊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L4国家级官方报纸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L5省级官方报纸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L6国际性学术论文集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L7国内学术论文集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L8国际性核心刊物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L9国内核心刊物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L10普通刊物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89.第1作者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L11国际性学术论文集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L12国内学术论文集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M获得第二学位（4分）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93.在校期间获得第二专业毕业或学位证书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N参加专业性学科竞赛（5分）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94.获得一等奖及以上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95.获得二等奖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96.获得三等奖或其他奖励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O参加学生组织并获得良好及以上等次评议（5分）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101.省市级学联主席及以上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102.省市级学联部门工作人员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103.</w:t>
            </w:r>
            <w:r>
              <w:rPr>
                <w:rFonts w:eastAsia="仿宋_GB2312"/>
                <w:kern w:val="0"/>
                <w:szCs w:val="21"/>
                <w:lang w:val="zh-CN"/>
              </w:rPr>
              <w:t>校级主席团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105.团支书、班长、院级工作部门负责人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106.院校工作部门成员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P获得优秀学生干部或优秀团干部、优秀共产党员、优秀共青团员、优秀毕业生等相关表彰（5分）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110.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Q参加文艺类活动（5分）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113.获得市级奖励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R参加体育竞赛类活动（5分）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116.获得省部级奖励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S获得国家级职业资格（技能）证书（4分）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S1国家级职业资格证书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S2国家级职业技能等级证书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S3全国计算机技术与软件专业技术资格（水平）证书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123.中高级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124.初级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T获得全国计算机等级考试证书（2分）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125.三级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126.二级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U获得语言类等级考试（认证考试）证书（4分）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U1普通话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127.一甲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128.一乙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129.二甲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U2全国大学专业外语八级统考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130.合格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U3全国大学专业外语四级统考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131.合格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U4全国大学英语六级统考（非英语专业)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132.合格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U5全国大学英语四级统考（非英语专业)/全国大学英语三级统考（只针对非英语专业专科)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133.合格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U6托福、雅思统考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134.合格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U7小语种考试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6.志愿服务时长取“志愿四川”平台和第二课堂成绩单中最高时长，不叠加计算；其余志愿服务时长不予认定；明年将统一认定“志愿四川”平台志愿服务时长；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7.本科生及研究生在7个类别中满足4个类别取得计分且总分数达到24分（含24分）以上则可申请参评“综合素质A级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”，专科生在7个类别中满足4个类别取得计分且总分数达到18分（含18分）以上则可申请参评“综合素质A级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8"/>
          <w:szCs w:val="28"/>
        </w:rPr>
        <w:t>8.本评分最终解释权属团省委学校部、省学联秘书处。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1592B"/>
    <w:rsid w:val="4E0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2020-05-12T08:44:00Z</dcterms:created>
  <dc:creator>Administrator</dc:creator>
  <cp:lastModifiedBy>Administrator</cp:lastModifiedBy>
  <dcterms:modified xsi:type="dcterms:W3CDTF">2020-05-12T08:45:00Z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